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8022" w14:textId="7A5D27F0" w:rsidR="008A7551" w:rsidRDefault="008A7551" w:rsidP="008A7551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5001"/>
        <w:gridCol w:w="1058"/>
        <w:gridCol w:w="1699"/>
        <w:gridCol w:w="1224"/>
        <w:gridCol w:w="1283"/>
        <w:gridCol w:w="1409"/>
      </w:tblGrid>
      <w:tr w:rsidR="008A7551" w:rsidRPr="00A42D69" w14:paraId="4EB7E3D8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3932035D" w14:textId="77777777" w:rsidR="008A7551" w:rsidRPr="00A42D69" w:rsidRDefault="008A7551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A7551" w:rsidRPr="00A42D69" w14:paraId="38F31772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ACC63B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23DD3CD" w14:textId="77777777" w:rsidR="008A7551" w:rsidRPr="00264E75" w:rsidRDefault="00E55EC6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369677119"/>
                <w:placeholder>
                  <w:docPart w:val="616CCAB28A9D436D879A8C3504C090CF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A7551" w:rsidRPr="00A42D69" w14:paraId="21E63E84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D73E30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3C79A61B" w14:textId="21DBBA81" w:rsidR="008A7551" w:rsidRPr="00A42D69" w:rsidRDefault="00167753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Občianske združenie Ipeľ - Hon</w:t>
            </w:r>
            <w:r w:rsidR="005D79F6">
              <w:rPr>
                <w:rFonts w:asciiTheme="minorHAnsi" w:hAnsiTheme="minorHAnsi"/>
                <w:i/>
              </w:rPr>
              <w:t>t</w:t>
            </w:r>
          </w:p>
        </w:tc>
      </w:tr>
      <w:tr w:rsidR="008A7551" w:rsidRPr="00A42D69" w14:paraId="10115B3F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F9063A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470A25C" w14:textId="5443D03F" w:rsidR="008A7551" w:rsidRPr="00A42D69" w:rsidRDefault="00E55EC6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712343508"/>
                <w:placeholder>
                  <w:docPart w:val="2FE72F12B2FE4AE385C9DC36D2326E5D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D1 Učebne základných škôl</w:t>
                </w:r>
              </w:sdtContent>
            </w:sdt>
          </w:p>
        </w:tc>
      </w:tr>
      <w:tr w:rsidR="008A7551" w:rsidRPr="00A42D69" w14:paraId="202000FF" w14:textId="77777777" w:rsidTr="0092560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E63FBB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27931F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5943C9DA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A395E0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B97882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50EDAB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4FBA75D0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468B59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5CA68F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D6E6B87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A7551" w:rsidRPr="009365C4" w14:paraId="0FFD613A" w14:textId="77777777" w:rsidTr="00167753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D30025" w14:textId="4B738EE6" w:rsidR="008A7551" w:rsidRPr="009365C4" w:rsidRDefault="008A7551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B9462F" w14:textId="68ACFB89" w:rsidR="008A7551" w:rsidRPr="009365C4" w:rsidRDefault="00925601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učební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C66280" w14:textId="2F41C30F" w:rsidR="008A7551" w:rsidRPr="009365C4" w:rsidRDefault="0086371B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učební v ZŠ ktoré dostávajú podporu z CLLD. Viac učební môže byť podporených v rámci jednej školy.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závislosti od nadefinovaných potrieb územia a v súlade s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princípmi výberu v CLLD.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D91C7" w14:textId="7DBFEBAD" w:rsidR="008A7551" w:rsidRPr="008C0112" w:rsidRDefault="0086371B" w:rsidP="0016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E71DC" w14:textId="5BFDE130" w:rsidR="008A7551" w:rsidRPr="008C0112" w:rsidRDefault="0086371B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B2D459" w14:textId="4B032F27" w:rsidR="008A7551" w:rsidRPr="008C0112" w:rsidRDefault="0086371B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89227D" w14:textId="1B196680" w:rsidR="008A7551" w:rsidRPr="008C0112" w:rsidRDefault="0086371B" w:rsidP="0016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FCEC2D" w14:textId="02CAC721" w:rsidR="008A7551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</w:t>
            </w:r>
            <w:r w:rsidR="0086371B">
              <w:rPr>
                <w:rFonts w:asciiTheme="minorHAnsi" w:hAnsiTheme="minorHAnsi"/>
                <w:sz w:val="20"/>
              </w:rPr>
              <w:t>no</w:t>
            </w:r>
          </w:p>
        </w:tc>
      </w:tr>
      <w:tr w:rsidR="00167753" w:rsidRPr="009365C4" w14:paraId="3EE2C234" w14:textId="77777777" w:rsidTr="00167753">
        <w:trPr>
          <w:trHeight w:val="548"/>
        </w:trPr>
        <w:tc>
          <w:tcPr>
            <w:tcW w:w="1311" w:type="dxa"/>
            <w:shd w:val="clear" w:color="auto" w:fill="FFFFFF" w:themeFill="background1"/>
            <w:vAlign w:val="center"/>
          </w:tcPr>
          <w:p w14:paraId="0687B09C" w14:textId="79CB77F8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1E8F0F8A" w14:textId="4F70601C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základných škôl</w:t>
            </w:r>
          </w:p>
        </w:tc>
        <w:tc>
          <w:tcPr>
            <w:tcW w:w="5001" w:type="dxa"/>
            <w:shd w:val="clear" w:color="auto" w:fill="FFFFFF" w:themeFill="background1"/>
            <w:vAlign w:val="center"/>
          </w:tcPr>
          <w:p w14:paraId="7153E3D1" w14:textId="3AD28280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ZŠ dostávajúcich podporu zo stratégie CLLD.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3A57BC17" w14:textId="7B5E4C00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52D79F3D" w14:textId="6486B862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504BBAE" w14:textId="0CB345FF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11A0D7DB" w14:textId="387DF90B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14:paraId="6285B7A3" w14:textId="1411480B" w:rsidR="00167753" w:rsidRDefault="00167753" w:rsidP="0016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D21D03"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167753" w:rsidRPr="009365C4" w14:paraId="4CE6BE34" w14:textId="77777777" w:rsidTr="00167753">
        <w:trPr>
          <w:trHeight w:val="548"/>
        </w:trPr>
        <w:tc>
          <w:tcPr>
            <w:tcW w:w="1311" w:type="dxa"/>
            <w:shd w:val="clear" w:color="auto" w:fill="FFFFFF" w:themeFill="background1"/>
            <w:vAlign w:val="center"/>
          </w:tcPr>
          <w:p w14:paraId="1C412480" w14:textId="2F0F893D" w:rsidR="00167753" w:rsidRPr="008F43B6" w:rsidRDefault="00167753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0A2213A7" w14:textId="3ACE96A8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Kapacita podporenej školskej infraštruktúry základných škôl</w:t>
            </w:r>
          </w:p>
        </w:tc>
        <w:tc>
          <w:tcPr>
            <w:tcW w:w="5001" w:type="dxa"/>
            <w:shd w:val="clear" w:color="auto" w:fill="FFFFFF" w:themeFill="background1"/>
            <w:vAlign w:val="center"/>
          </w:tcPr>
          <w:p w14:paraId="58589647" w14:textId="6CADC20F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užívateľov, ktorí môžu používať nové alebo zlepšené zariadenia základných škôl. "Užívatelia" v tomto kontexte sú deti, nie učitelia, rodičia alebo iné osoby, ktoré môžu používať príslušné zariadenia. Ukazovateľ meria nominálnu kapacitu (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 xml:space="preserve">. počet možných užívateľov, ktorý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je zvyčajne vyšší alebo sa rovná počtu skutočných užívateľov). Ukazovateľ sa vypočíta ako súčet počtu "užívateľov" podporenej vzdelávacej infraštruktúry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dôsledku realizácie projektu.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598A0CDD" w14:textId="3A1F189E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Žiak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201C69C8" w14:textId="7705ECE8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D12DBEB" w14:textId="55BF9101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578BC466" w14:textId="53C7EBD8" w:rsidR="00167753" w:rsidRPr="008C0112" w:rsidRDefault="00167753" w:rsidP="0016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14:paraId="27FA6AFA" w14:textId="4EA07578" w:rsidR="00167753" w:rsidRDefault="00167753" w:rsidP="0016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D21D03"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729CC6A6" w14:textId="77777777" w:rsidTr="00167753">
        <w:trPr>
          <w:trHeight w:val="548"/>
        </w:trPr>
        <w:tc>
          <w:tcPr>
            <w:tcW w:w="1311" w:type="dxa"/>
            <w:shd w:val="clear" w:color="auto" w:fill="FFFFFF" w:themeFill="background1"/>
            <w:vAlign w:val="center"/>
          </w:tcPr>
          <w:p w14:paraId="4B1BB25F" w14:textId="34AE24CC" w:rsidR="0086371B" w:rsidRPr="008F43B6" w:rsidRDefault="0086371B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14:paraId="0096CC6B" w14:textId="12A8F454" w:rsidR="0086371B" w:rsidRPr="008C0112" w:rsidRDefault="0086371B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Zvýšená kapacita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25601">
              <w:rPr>
                <w:rFonts w:asciiTheme="minorHAnsi" w:hAnsiTheme="minorHAnsi"/>
                <w:sz w:val="20"/>
              </w:rPr>
              <w:t>podporenej školskej infraštruktúry základných škôl</w:t>
            </w:r>
          </w:p>
        </w:tc>
        <w:tc>
          <w:tcPr>
            <w:tcW w:w="5001" w:type="dxa"/>
            <w:shd w:val="clear" w:color="auto" w:fill="FFFFFF" w:themeFill="background1"/>
            <w:vAlign w:val="center"/>
          </w:tcPr>
          <w:p w14:paraId="342CD98C" w14:textId="1D673270" w:rsidR="0086371B" w:rsidRPr="008C0112" w:rsidRDefault="0086371B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Zvýšená celková kapacita základnej školy, 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rozdiel kapacity zariadenia pred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6371B">
              <w:rPr>
                <w:rFonts w:asciiTheme="minorHAnsi" w:hAnsiTheme="minorHAnsi"/>
                <w:sz w:val="20"/>
              </w:rPr>
              <w:t>realizáciou projektu a po realizácii projektu. Kapacita predstavuje nominálnu kapacitu (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počet možných žiakov, ktorí môžu využívať základnú školu).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14:paraId="37A29DF0" w14:textId="403E8D3D" w:rsidR="0086371B" w:rsidRPr="008C0112" w:rsidRDefault="0086371B" w:rsidP="0016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7491C981" w14:textId="62EB523F" w:rsidR="0086371B" w:rsidRPr="008C0112" w:rsidRDefault="0086371B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7EC3CC5" w14:textId="50C5BDF8" w:rsidR="0086371B" w:rsidRPr="008C0112" w:rsidRDefault="0086371B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5CE4226A" w14:textId="37AF96EF" w:rsidR="0086371B" w:rsidRPr="008C0112" w:rsidRDefault="0086371B" w:rsidP="00167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14:paraId="370915F9" w14:textId="657B5D1F" w:rsidR="0086371B" w:rsidRDefault="00167753" w:rsidP="001677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  <w:r w:rsidRPr="0086371B">
              <w:rPr>
                <w:rFonts w:asciiTheme="minorHAnsi" w:hAnsiTheme="minorHAnsi"/>
                <w:sz w:val="20"/>
              </w:rPr>
              <w:t xml:space="preserve"> </w:t>
            </w:r>
            <w:r w:rsidR="0086371B" w:rsidRPr="0086371B">
              <w:rPr>
                <w:rFonts w:asciiTheme="minorHAnsi" w:hAnsiTheme="minorHAnsi"/>
                <w:sz w:val="20"/>
              </w:rPr>
              <w:t>v prípade, ak projekt</w:t>
            </w:r>
            <w:r w:rsidR="0086371B">
              <w:rPr>
                <w:rFonts w:asciiTheme="minorHAnsi" w:hAnsiTheme="minorHAnsi"/>
                <w:sz w:val="20"/>
              </w:rPr>
              <w:t xml:space="preserve"> </w:t>
            </w:r>
            <w:r w:rsidR="0086371B" w:rsidRPr="0086371B">
              <w:rPr>
                <w:rFonts w:asciiTheme="minorHAnsi" w:hAnsiTheme="minorHAnsi"/>
                <w:sz w:val="20"/>
              </w:rPr>
              <w:t>vedie k zvýšeniu kapacity základných škôl</w:t>
            </w:r>
          </w:p>
        </w:tc>
      </w:tr>
    </w:tbl>
    <w:p w14:paraId="65B9520D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118DAD0B" w14:textId="3EFF0480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643ABB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03343D31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061C2B24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01AFA940" w14:textId="7F00809B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0F978FA9" w14:textId="77777777" w:rsidR="005E6B6E" w:rsidRDefault="005E6B6E" w:rsidP="00BC18A8">
      <w:pPr>
        <w:jc w:val="both"/>
        <w:rPr>
          <w:rFonts w:asciiTheme="minorHAnsi" w:hAnsiTheme="minorHAnsi"/>
        </w:rPr>
      </w:pPr>
    </w:p>
    <w:p w14:paraId="67CB763A" w14:textId="77777777" w:rsidR="002869C2" w:rsidRDefault="002869C2" w:rsidP="00BC18A8">
      <w:pPr>
        <w:jc w:val="both"/>
        <w:rPr>
          <w:rFonts w:asciiTheme="minorHAnsi" w:hAnsiTheme="minorHAnsi"/>
        </w:rPr>
      </w:pPr>
    </w:p>
    <w:p w14:paraId="653F6E96" w14:textId="77777777" w:rsidR="002869C2" w:rsidRDefault="002869C2" w:rsidP="00BC18A8">
      <w:pPr>
        <w:jc w:val="both"/>
        <w:rPr>
          <w:rFonts w:asciiTheme="minorHAnsi" w:hAnsiTheme="minorHAnsi"/>
        </w:rPr>
      </w:pPr>
    </w:p>
    <w:p w14:paraId="1FD3F238" w14:textId="77777777" w:rsidR="002869C2" w:rsidRDefault="002869C2" w:rsidP="00BC18A8">
      <w:pPr>
        <w:jc w:val="both"/>
        <w:rPr>
          <w:rFonts w:asciiTheme="minorHAnsi" w:hAnsiTheme="minorHAnsi"/>
        </w:rPr>
      </w:pPr>
    </w:p>
    <w:p w14:paraId="198918FF" w14:textId="77777777" w:rsidR="002869C2" w:rsidRDefault="002869C2" w:rsidP="00BC18A8">
      <w:pPr>
        <w:jc w:val="both"/>
        <w:rPr>
          <w:rFonts w:asciiTheme="minorHAnsi" w:hAnsiTheme="minorHAnsi"/>
        </w:rPr>
      </w:pPr>
    </w:p>
    <w:p w14:paraId="38E12A9A" w14:textId="77777777" w:rsidR="002869C2" w:rsidRDefault="002869C2" w:rsidP="00BC18A8">
      <w:pPr>
        <w:jc w:val="both"/>
        <w:rPr>
          <w:rFonts w:asciiTheme="minorHAnsi" w:hAnsiTheme="minorHAnsi"/>
        </w:rPr>
      </w:pPr>
    </w:p>
    <w:p w14:paraId="05941651" w14:textId="77777777" w:rsidR="002869C2" w:rsidRDefault="002869C2" w:rsidP="00BC18A8">
      <w:pPr>
        <w:jc w:val="both"/>
        <w:rPr>
          <w:rFonts w:asciiTheme="minorHAnsi" w:hAnsiTheme="minorHAnsi"/>
        </w:rPr>
      </w:pPr>
    </w:p>
    <w:p w14:paraId="451D1554" w14:textId="77777777" w:rsidR="002869C2" w:rsidRDefault="002869C2" w:rsidP="00BC18A8">
      <w:pPr>
        <w:jc w:val="both"/>
        <w:rPr>
          <w:rFonts w:asciiTheme="minorHAnsi" w:hAnsiTheme="minorHAnsi"/>
        </w:rPr>
      </w:pPr>
    </w:p>
    <w:p w14:paraId="20742B90" w14:textId="77777777" w:rsidR="002869C2" w:rsidRDefault="002869C2" w:rsidP="00BC18A8">
      <w:pPr>
        <w:jc w:val="both"/>
        <w:rPr>
          <w:rFonts w:asciiTheme="minorHAnsi" w:hAnsiTheme="minorHAnsi"/>
        </w:rPr>
      </w:pPr>
    </w:p>
    <w:p w14:paraId="61FDDAF7" w14:textId="77777777" w:rsidR="002869C2" w:rsidRDefault="002869C2" w:rsidP="00BC18A8">
      <w:pPr>
        <w:jc w:val="both"/>
        <w:rPr>
          <w:rFonts w:asciiTheme="minorHAnsi" w:hAnsiTheme="minorHAnsi"/>
        </w:rPr>
      </w:pPr>
    </w:p>
    <w:p w14:paraId="66D0FD5C" w14:textId="77777777" w:rsidR="002869C2" w:rsidRDefault="002869C2" w:rsidP="00BC18A8">
      <w:pPr>
        <w:jc w:val="both"/>
        <w:rPr>
          <w:rFonts w:asciiTheme="minorHAnsi" w:hAnsiTheme="minorHAnsi"/>
        </w:rPr>
      </w:pPr>
    </w:p>
    <w:p w14:paraId="328D58B7" w14:textId="77777777" w:rsidR="002869C2" w:rsidRDefault="002869C2" w:rsidP="00BC18A8">
      <w:pPr>
        <w:jc w:val="both"/>
        <w:rPr>
          <w:rFonts w:asciiTheme="minorHAnsi" w:hAnsiTheme="minorHAnsi"/>
        </w:rPr>
      </w:pPr>
    </w:p>
    <w:sectPr w:rsidR="002869C2" w:rsidSect="002869C2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D181" w14:textId="77777777" w:rsidR="004B1A03" w:rsidRDefault="004B1A03">
      <w:r>
        <w:separator/>
      </w:r>
    </w:p>
  </w:endnote>
  <w:endnote w:type="continuationSeparator" w:id="0">
    <w:p w14:paraId="024CC47C" w14:textId="77777777" w:rsidR="004B1A03" w:rsidRDefault="004B1A03">
      <w:r>
        <w:continuationSeparator/>
      </w:r>
    </w:p>
  </w:endnote>
  <w:endnote w:type="continuationNotice" w:id="1">
    <w:p w14:paraId="526FA39C" w14:textId="77777777" w:rsidR="004B1A03" w:rsidRDefault="004B1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704B" w14:textId="77777777" w:rsidR="004B1A03" w:rsidRDefault="004B1A03">
      <w:r>
        <w:separator/>
      </w:r>
    </w:p>
  </w:footnote>
  <w:footnote w:type="continuationSeparator" w:id="0">
    <w:p w14:paraId="6CD25C22" w14:textId="77777777" w:rsidR="004B1A03" w:rsidRDefault="004B1A03">
      <w:r>
        <w:continuationSeparator/>
      </w:r>
    </w:p>
  </w:footnote>
  <w:footnote w:type="continuationNotice" w:id="1">
    <w:p w14:paraId="01DF9E68" w14:textId="77777777" w:rsidR="004B1A03" w:rsidRDefault="004B1A03"/>
  </w:footnote>
  <w:footnote w:id="2">
    <w:p w14:paraId="30E5AB95" w14:textId="71B30563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75F44A58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027A" w14:textId="38BFA590" w:rsidR="00E55EC6" w:rsidRDefault="00E55EC6" w:rsidP="00E55EC6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29F886" wp14:editId="4F302384">
          <wp:simplePos x="0" y="0"/>
          <wp:positionH relativeFrom="column">
            <wp:posOffset>733425</wp:posOffset>
          </wp:positionH>
          <wp:positionV relativeFrom="paragraph">
            <wp:posOffset>-181610</wp:posOffset>
          </wp:positionV>
          <wp:extent cx="547370" cy="563880"/>
          <wp:effectExtent l="0" t="0" r="5080" b="762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04CF5C18" wp14:editId="220CAFBB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21073"/>
              <wp:lineTo x="21413" y="21073"/>
              <wp:lineTo x="2141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BBE5673" wp14:editId="3007587D">
          <wp:simplePos x="0" y="0"/>
          <wp:positionH relativeFrom="column">
            <wp:posOffset>2434590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4DA7DAB" wp14:editId="6D13BCD2">
          <wp:simplePos x="0" y="0"/>
          <wp:positionH relativeFrom="column">
            <wp:posOffset>7195820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FEBBE" w14:textId="77777777" w:rsidR="00E55EC6" w:rsidRDefault="00E55EC6" w:rsidP="00E55EC6">
    <w:pPr>
      <w:pStyle w:val="Hlavika"/>
      <w:ind w:firstLine="567"/>
      <w:jc w:val="left"/>
      <w:rPr>
        <w:rFonts w:ascii="Arial Narrow" w:hAnsi="Arial Narrow" w:cs="Arial"/>
        <w:sz w:val="20"/>
      </w:rPr>
    </w:pPr>
  </w:p>
  <w:p w14:paraId="6893C7AA" w14:textId="77777777" w:rsidR="00E55EC6" w:rsidRDefault="00E55EC6" w:rsidP="00E55EC6">
    <w:pPr>
      <w:pStyle w:val="Hlavika"/>
      <w:rPr>
        <w:rFonts w:ascii="Arial Narrow" w:hAnsi="Arial Narrow" w:cs="Arial"/>
        <w:sz w:val="20"/>
      </w:rPr>
    </w:pPr>
  </w:p>
  <w:p w14:paraId="085FB754" w14:textId="77777777" w:rsidR="00E55EC6" w:rsidRDefault="00E55EC6" w:rsidP="00E55EC6">
    <w:pPr>
      <w:pStyle w:val="Hlavika"/>
      <w:rPr>
        <w:rFonts w:ascii="Arial Narrow" w:hAnsi="Arial Narrow" w:cs="Arial"/>
      </w:rPr>
    </w:pPr>
    <w:r>
      <w:rPr>
        <w:rFonts w:ascii="Arial Narrow" w:hAnsi="Arial Narrow" w:cs="Arial"/>
        <w:sz w:val="20"/>
      </w:rPr>
      <w:t>Príloha č. 3  výzvy – Zoznam povinných merateľných ukazovateľov projektu</w:t>
    </w:r>
  </w:p>
  <w:p w14:paraId="6E48ECF8" w14:textId="64E82426" w:rsidR="00E55EC6" w:rsidRDefault="00E55EC6" w:rsidP="00E55EC6">
    <w:pPr>
      <w:pStyle w:val="Hlavika"/>
      <w:jc w:val="left"/>
    </w:pP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67753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869C2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D79F6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2578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18A8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5EC6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4C5E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6CCAB28A9D436D879A8C3504C090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48F669-0F0A-4054-9F72-80F2BFC07175}"/>
      </w:docPartPr>
      <w:docPartBody>
        <w:p w:rsidR="00D44CE6" w:rsidRDefault="00D44CE6" w:rsidP="00D44CE6">
          <w:pPr>
            <w:pStyle w:val="616CCAB28A9D436D879A8C3504C090CF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FE72F12B2FE4AE385C9DC36D2326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C01FD2-403C-403F-B9E0-4F0CEB866501}"/>
      </w:docPartPr>
      <w:docPartBody>
        <w:p w:rsidR="00D44CE6" w:rsidRDefault="00D44CE6" w:rsidP="00D44CE6">
          <w:pPr>
            <w:pStyle w:val="2FE72F12B2FE4AE385C9DC36D2326E5D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472F3"/>
    <w:rsid w:val="006B31D6"/>
    <w:rsid w:val="006B5A84"/>
    <w:rsid w:val="006E2383"/>
    <w:rsid w:val="00A74980"/>
    <w:rsid w:val="00A93480"/>
    <w:rsid w:val="00B62629"/>
    <w:rsid w:val="00C31B9D"/>
    <w:rsid w:val="00C3724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39E89B29F8E4463286A84825AFCA1B1C">
    <w:name w:val="39E89B29F8E4463286A84825AFCA1B1C"/>
    <w:rsid w:val="00C37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2021-07-06T12:05:00Z</dcterms:modified>
</cp:coreProperties>
</file>