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07268E5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C6DF3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4CFD733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0F252CBE" w:rsidR="008A5B14" w:rsidRPr="00D41226" w:rsidRDefault="008A5B14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A5B14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 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5049F6B4" w:rsidR="00856D01" w:rsidRPr="00075B6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</w:pPr>
            <w:r w:rsidRPr="00075B67">
              <w:rPr>
                <w:rFonts w:asciiTheme="minorHAnsi" w:hAnsiTheme="minorHAnsi" w:cstheme="minorHAnsi"/>
                <w:color w:val="FFFFFF" w:themeColor="background1"/>
                <w:sz w:val="30"/>
                <w:szCs w:val="3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3DEB662B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EC626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6124715F" w:rsidR="00856D01" w:rsidRPr="002D32BE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1E2E5D" w14:textId="6434E2E7" w:rsidR="00821540" w:rsidRPr="00773273" w:rsidRDefault="00821540" w:rsidP="00BD09C6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8215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6C13C7BC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proofErr w:type="spellStart"/>
            <w:r w:rsidR="005D1B6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Ś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tatistickej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klasifikácie</w:t>
            </w:r>
            <w:r w:rsidR="005D1B6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ekonomickej činnosti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</w:t>
            </w:r>
            <w:r w:rsidR="005D1B6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2</w:t>
            </w:r>
            <w:r w:rsidR="005D1B66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="005D1B6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9F67A16" w14:textId="770530CD" w:rsidR="00F64E2F" w:rsidRPr="00F64483" w:rsidRDefault="00F64E2F" w:rsidP="00F608A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predkladá </w:t>
            </w:r>
            <w:proofErr w:type="spellStart"/>
            <w:r w:rsidRPr="00BD09C6">
              <w:rPr>
                <w:rFonts w:asciiTheme="minorHAnsi" w:hAnsiTheme="minorHAnsi" w:cstheme="minorHAnsi"/>
                <w:b/>
                <w:bCs/>
                <w:strike/>
                <w:color w:val="FFFFFF" w:themeColor="background1"/>
              </w:rPr>
              <w:t>samostatné</w:t>
            </w:r>
            <w:proofErr w:type="spellEnd"/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čestné vyhlásenie. Vnútorné vybavenie ubytovacích zariadení je neoprávneným výdavkom.</w:t>
            </w:r>
          </w:p>
          <w:p w14:paraId="4E4DF7C3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2026DCBE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EF23E4" w14:textId="77777777" w:rsidR="00A62AEE" w:rsidRPr="00DE6162" w:rsidRDefault="00A62AEE" w:rsidP="00A62AEE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F52783" w14:textId="3B8363F0" w:rsidR="008479F9" w:rsidRDefault="008479F9" w:rsidP="00F92B9D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D3B0501" w14:textId="64176BC9" w:rsidR="008479F9" w:rsidRDefault="008479F9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Nákup automobilov je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prípade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ak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:</w:t>
            </w:r>
          </w:p>
          <w:p w14:paraId="718EE2A6" w14:textId="77777777" w:rsidR="008479F9" w:rsidRPr="008479F9" w:rsidRDefault="008479F9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sz w:val="19"/>
                <w:szCs w:val="19"/>
              </w:rPr>
            </w:pPr>
          </w:p>
          <w:p w14:paraId="5C3C025B" w14:textId="26775021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1"/>
              </w:numPr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je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priamo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naviazaný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ciele projektu a jeho používanie je priamym predmetom činnosti projektu </w:t>
            </w:r>
          </w:p>
          <w:p w14:paraId="14FC19D2" w14:textId="77777777" w:rsidR="008479F9" w:rsidRPr="008479F9" w:rsidRDefault="008479F9" w:rsidP="008479F9">
            <w:pPr>
              <w:pStyle w:val="Default"/>
              <w:widowControl w:val="0"/>
              <w:ind w:left="706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auto"/>
                <w:sz w:val="19"/>
                <w:szCs w:val="19"/>
              </w:rPr>
            </w:pPr>
          </w:p>
          <w:p w14:paraId="053334CE" w14:textId="34255440" w:rsidR="008479F9" w:rsidRDefault="008479F9" w:rsidP="008479F9">
            <w:pPr>
              <w:pStyle w:val="Default"/>
              <w:widowControl w:val="0"/>
              <w:numPr>
                <w:ilvl w:val="0"/>
                <w:numId w:val="11"/>
              </w:numPr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je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nepriamo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naviazaný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ciele projektu, t j. nie je hlavným, ale je podporným nástrojom predmetu činnosti projektu</w:t>
            </w:r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pričom musia byť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kumulatívne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splnené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nasledovné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podmienky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:</w:t>
            </w:r>
          </w:p>
          <w:p w14:paraId="26D77EB9" w14:textId="77777777" w:rsidR="008479F9" w:rsidRPr="008479F9" w:rsidRDefault="008479F9" w:rsidP="008479F9">
            <w:pPr>
              <w:pStyle w:val="Default"/>
              <w:widowControl w:val="0"/>
              <w:ind w:left="706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14:paraId="187D6ADA" w14:textId="38F2BDE8" w:rsidR="008479F9" w:rsidRDefault="008479F9" w:rsidP="008479F9">
            <w:pPr>
              <w:pStyle w:val="Default"/>
              <w:widowControl w:val="0"/>
              <w:numPr>
                <w:ilvl w:val="0"/>
                <w:numId w:val="12"/>
              </w:numPr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predmetom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projektu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sú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aj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iné výdavky, ktoré sú priamo previazané na ciele projektu,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t.j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sú hlavnými nástrojmi pre predmet činnosti projektu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poskytovanie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služieb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/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výrobu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výrobkov</w:t>
            </w:r>
            <w:proofErr w:type="spellEnd"/>
          </w:p>
          <w:p w14:paraId="7F2B3DE7" w14:textId="77777777" w:rsidR="008479F9" w:rsidRPr="008479F9" w:rsidRDefault="008479F9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14:paraId="1E78E086" w14:textId="41FFFD76" w:rsidR="008479F9" w:rsidRDefault="008479F9" w:rsidP="008479F9">
            <w:pPr>
              <w:pStyle w:val="Default"/>
              <w:widowControl w:val="0"/>
              <w:numPr>
                <w:ilvl w:val="0"/>
                <w:numId w:val="12"/>
              </w:numPr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priamo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podporuje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produkt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(poskytovanie služby, výrobu výrobkov), ktorý je predmetom činnosti projektu a je účelný vo vzťahu k cieľom projektu (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t.j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je nevyhnutný na poskytovanie takéhoto typu služby/výrobu takéhoto typu výrobku) a/alebo nevyhnutný na poskytovanie služby/výrobu výrobku v cielenej kvalite)                     </w:t>
            </w:r>
          </w:p>
          <w:p w14:paraId="6FF5C128" w14:textId="77777777" w:rsidR="008479F9" w:rsidRPr="008479F9" w:rsidRDefault="008479F9" w:rsidP="008479F9">
            <w:pPr>
              <w:pStyle w:val="Default"/>
              <w:widowControl w:val="0"/>
              <w:ind w:left="706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14:paraId="1E4A386B" w14:textId="77777777" w:rsidR="008479F9" w:rsidRPr="008479F9" w:rsidRDefault="008479F9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8479F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3.</w:t>
            </w:r>
            <w:r w:rsidRPr="008479F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ab/>
              <w:t xml:space="preserve">je automobil špeciálne prispôsobený na tento účel, </w:t>
            </w:r>
            <w:proofErr w:type="spellStart"/>
            <w:r w:rsidRPr="008479F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t.j</w:t>
            </w:r>
            <w:proofErr w:type="spellEnd"/>
            <w:r w:rsidRPr="008479F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 xml:space="preserve">. ide o vozidlo, ktoré ma prepravný priestor na prevoz potrebných nástrojov, ktoré sú hlavným predmetom činnosti projektu </w:t>
            </w:r>
          </w:p>
          <w:p w14:paraId="20631C24" w14:textId="77777777" w:rsidR="008479F9" w:rsidRPr="008479F9" w:rsidRDefault="008479F9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14:paraId="1B999880" w14:textId="77777777" w:rsidR="008479F9" w:rsidRPr="008479F9" w:rsidRDefault="008479F9" w:rsidP="008479F9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>Oprávnené typy vozidiel:  úžitkové vozidlá</w:t>
            </w:r>
            <w:r w:rsidRPr="008479F9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footnoteReference w:id="3"/>
            </w: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 </w:t>
            </w:r>
          </w:p>
          <w:p w14:paraId="6E7C2776" w14:textId="77777777" w:rsidR="008479F9" w:rsidRPr="008479F9" w:rsidRDefault="008479F9" w:rsidP="008479F9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u w:val="single"/>
                <w:lang w:val="sk-SK"/>
              </w:rPr>
              <w:t xml:space="preserve">najmä na prepravu tovaru </w:t>
            </w: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 xml:space="preserve">alebo cestujúcich </w:t>
            </w: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u w:val="single"/>
                <w:lang w:val="sk-SK"/>
              </w:rPr>
              <w:t>na komerčné účely</w:t>
            </w: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napr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doprava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vlastné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potreby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alebo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iné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podnikateľské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účely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.</w:t>
            </w:r>
          </w:p>
          <w:p w14:paraId="2C02C637" w14:textId="77777777" w:rsidR="008479F9" w:rsidRPr="008479F9" w:rsidRDefault="008479F9" w:rsidP="008479F9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Za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oprávnené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automobily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 xml:space="preserve"> sa považujú najmä nasledovné úžitkové vozidlá:</w:t>
            </w:r>
          </w:p>
          <w:p w14:paraId="017AF8A3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65A131B8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>motorové vozidlá navrhnuté a konštruované najmä na pre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pravu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tovarov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a/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alebo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nákladu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, s 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celkovou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hmotnosťou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do 3,5 tony; </w:t>
            </w:r>
          </w:p>
          <w:p w14:paraId="73FD5C00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motorové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vozidlá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navrhnuté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konštruované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najmä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prepravu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tovaru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s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celkovou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hmotnosťou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presahujúcou</w:t>
            </w:r>
            <w:proofErr w:type="spellEnd"/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 3,5 tony;</w:t>
            </w:r>
          </w:p>
          <w:p w14:paraId="59BF507A" w14:textId="77777777" w:rsidR="008479F9" w:rsidRPr="008479F9" w:rsidRDefault="008479F9" w:rsidP="008479F9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szCs w:val="19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B7F487E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7D0CBA06" w14:textId="77777777" w:rsidR="008479F9" w:rsidRPr="008479F9" w:rsidRDefault="008479F9" w:rsidP="008479F9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bCs/>
                <w:color w:val="auto"/>
                <w:sz w:val="19"/>
                <w:szCs w:val="19"/>
                <w:highlight w:val="yellow"/>
                <w:lang w:val="sk-SK"/>
              </w:rPr>
              <w:t xml:space="preserve">  </w:t>
            </w:r>
          </w:p>
          <w:p w14:paraId="6C49777B" w14:textId="77777777" w:rsidR="008479F9" w:rsidRPr="008479F9" w:rsidRDefault="008479F9" w:rsidP="00847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u w:val="single"/>
                <w:lang w:val="sk-SK"/>
              </w:rPr>
            </w:pPr>
            <w:r w:rsidRPr="008479F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  </w:t>
            </w:r>
            <w:r w:rsidRPr="008479F9">
              <w:rPr>
                <w:rFonts w:asciiTheme="minorHAnsi" w:hAnsiTheme="minorHAnsi" w:cstheme="minorHAnsi"/>
                <w:b/>
                <w:bCs/>
                <w:szCs w:val="19"/>
                <w:u w:val="single"/>
                <w:lang w:val="sk-SK"/>
              </w:rPr>
              <w:t>Nákup iných dopravných prostriedkov  je oprávnený  v prípade, ak ide o:</w:t>
            </w:r>
          </w:p>
          <w:p w14:paraId="59799AE6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dopravné prostriedky, ktoré majú </w:t>
            </w:r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odťahové vozidlo, atď.)</w:t>
            </w:r>
          </w:p>
          <w:p w14:paraId="29385514" w14:textId="77777777" w:rsidR="008479F9" w:rsidRPr="008479F9" w:rsidRDefault="008479F9" w:rsidP="008479F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  <w:lang w:val="sk-SK"/>
              </w:rPr>
            </w:pP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lastRenderedPageBreak/>
              <w:t>nákladné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vozidlá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určené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8479F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n</w:t>
            </w: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ákup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u w:val="single"/>
              </w:rPr>
              <w:t xml:space="preserve">pre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žiadateľov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ktorí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pôsobia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 v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oblasti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cestnej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nákladnej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>dopravy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,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u w:val="single"/>
              </w:rPr>
              <w:t>nie</w:t>
            </w:r>
            <w:proofErr w:type="spellEnd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u w:val="single"/>
              </w:rPr>
              <w:t xml:space="preserve"> je </w:t>
            </w:r>
            <w:proofErr w:type="spellStart"/>
            <w:r w:rsidRPr="008479F9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u w:val="single"/>
              </w:rPr>
              <w:t>oprávnený</w:t>
            </w:r>
            <w:proofErr w:type="spellEnd"/>
            <w:r w:rsidRPr="008479F9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u w:val="single"/>
              </w:rPr>
              <w:t xml:space="preserve">. </w:t>
            </w:r>
          </w:p>
          <w:p w14:paraId="68189FA5" w14:textId="2542F0AE" w:rsidR="0039610D" w:rsidRPr="00D41226" w:rsidRDefault="0039610D" w:rsidP="008479F9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9C1E0D1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3C6B9B12" w14:textId="77777777" w:rsidR="005D1B66" w:rsidRDefault="005D1B66" w:rsidP="005D1B6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7124ACD7" w14:textId="77777777" w:rsidR="008479F9" w:rsidRDefault="008479F9" w:rsidP="008479F9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61766"/>
    <w:multiLevelType w:val="hybridMultilevel"/>
    <w:tmpl w:val="4AC28252"/>
    <w:lvl w:ilvl="0" w:tplc="83D870A0">
      <w:start w:val="1"/>
      <w:numFmt w:val="lowerLetter"/>
      <w:lvlText w:val="%1)"/>
      <w:lvlJc w:val="left"/>
      <w:pPr>
        <w:ind w:left="706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8" w:hanging="360"/>
      </w:pPr>
    </w:lvl>
    <w:lvl w:ilvl="2" w:tplc="041B001B" w:tentative="1">
      <w:start w:val="1"/>
      <w:numFmt w:val="lowerRoman"/>
      <w:lvlText w:val="%3."/>
      <w:lvlJc w:val="right"/>
      <w:pPr>
        <w:ind w:left="1978" w:hanging="180"/>
      </w:pPr>
    </w:lvl>
    <w:lvl w:ilvl="3" w:tplc="041B000F" w:tentative="1">
      <w:start w:val="1"/>
      <w:numFmt w:val="decimal"/>
      <w:lvlText w:val="%4."/>
      <w:lvlJc w:val="left"/>
      <w:pPr>
        <w:ind w:left="2698" w:hanging="360"/>
      </w:pPr>
    </w:lvl>
    <w:lvl w:ilvl="4" w:tplc="041B0019" w:tentative="1">
      <w:start w:val="1"/>
      <w:numFmt w:val="lowerLetter"/>
      <w:lvlText w:val="%5."/>
      <w:lvlJc w:val="left"/>
      <w:pPr>
        <w:ind w:left="3418" w:hanging="360"/>
      </w:pPr>
    </w:lvl>
    <w:lvl w:ilvl="5" w:tplc="041B001B" w:tentative="1">
      <w:start w:val="1"/>
      <w:numFmt w:val="lowerRoman"/>
      <w:lvlText w:val="%6."/>
      <w:lvlJc w:val="right"/>
      <w:pPr>
        <w:ind w:left="4138" w:hanging="180"/>
      </w:pPr>
    </w:lvl>
    <w:lvl w:ilvl="6" w:tplc="041B000F" w:tentative="1">
      <w:start w:val="1"/>
      <w:numFmt w:val="decimal"/>
      <w:lvlText w:val="%7."/>
      <w:lvlJc w:val="left"/>
      <w:pPr>
        <w:ind w:left="4858" w:hanging="360"/>
      </w:pPr>
    </w:lvl>
    <w:lvl w:ilvl="7" w:tplc="041B0019" w:tentative="1">
      <w:start w:val="1"/>
      <w:numFmt w:val="lowerLetter"/>
      <w:lvlText w:val="%8."/>
      <w:lvlJc w:val="left"/>
      <w:pPr>
        <w:ind w:left="5578" w:hanging="360"/>
      </w:pPr>
    </w:lvl>
    <w:lvl w:ilvl="8" w:tplc="041B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468C"/>
    <w:multiLevelType w:val="hybridMultilevel"/>
    <w:tmpl w:val="137830C6"/>
    <w:lvl w:ilvl="0" w:tplc="194245D2">
      <w:start w:val="1"/>
      <w:numFmt w:val="decimal"/>
      <w:lvlText w:val="%1."/>
      <w:lvlJc w:val="left"/>
      <w:pPr>
        <w:ind w:left="706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8" w:hanging="360"/>
      </w:pPr>
    </w:lvl>
    <w:lvl w:ilvl="2" w:tplc="041B001B" w:tentative="1">
      <w:start w:val="1"/>
      <w:numFmt w:val="lowerRoman"/>
      <w:lvlText w:val="%3."/>
      <w:lvlJc w:val="right"/>
      <w:pPr>
        <w:ind w:left="1978" w:hanging="180"/>
      </w:pPr>
    </w:lvl>
    <w:lvl w:ilvl="3" w:tplc="041B000F" w:tentative="1">
      <w:start w:val="1"/>
      <w:numFmt w:val="decimal"/>
      <w:lvlText w:val="%4."/>
      <w:lvlJc w:val="left"/>
      <w:pPr>
        <w:ind w:left="2698" w:hanging="360"/>
      </w:pPr>
    </w:lvl>
    <w:lvl w:ilvl="4" w:tplc="041B0019" w:tentative="1">
      <w:start w:val="1"/>
      <w:numFmt w:val="lowerLetter"/>
      <w:lvlText w:val="%5."/>
      <w:lvlJc w:val="left"/>
      <w:pPr>
        <w:ind w:left="3418" w:hanging="360"/>
      </w:pPr>
    </w:lvl>
    <w:lvl w:ilvl="5" w:tplc="041B001B" w:tentative="1">
      <w:start w:val="1"/>
      <w:numFmt w:val="lowerRoman"/>
      <w:lvlText w:val="%6."/>
      <w:lvlJc w:val="right"/>
      <w:pPr>
        <w:ind w:left="4138" w:hanging="180"/>
      </w:pPr>
    </w:lvl>
    <w:lvl w:ilvl="6" w:tplc="041B000F" w:tentative="1">
      <w:start w:val="1"/>
      <w:numFmt w:val="decimal"/>
      <w:lvlText w:val="%7."/>
      <w:lvlJc w:val="left"/>
      <w:pPr>
        <w:ind w:left="4858" w:hanging="360"/>
      </w:pPr>
    </w:lvl>
    <w:lvl w:ilvl="7" w:tplc="041B0019" w:tentative="1">
      <w:start w:val="1"/>
      <w:numFmt w:val="lowerLetter"/>
      <w:lvlText w:val="%8."/>
      <w:lvlJc w:val="left"/>
      <w:pPr>
        <w:ind w:left="5578" w:hanging="360"/>
      </w:pPr>
    </w:lvl>
    <w:lvl w:ilvl="8" w:tplc="041B001B" w:tentative="1">
      <w:start w:val="1"/>
      <w:numFmt w:val="lowerRoman"/>
      <w:lvlText w:val="%9."/>
      <w:lvlJc w:val="right"/>
      <w:pPr>
        <w:ind w:left="6298" w:hanging="180"/>
      </w:pPr>
    </w:lvl>
  </w:abstractNum>
  <w:num w:numId="1" w16cid:durableId="1914242426">
    <w:abstractNumId w:val="1"/>
  </w:num>
  <w:num w:numId="2" w16cid:durableId="2045251034">
    <w:abstractNumId w:val="1"/>
  </w:num>
  <w:num w:numId="3" w16cid:durableId="479155207">
    <w:abstractNumId w:val="0"/>
  </w:num>
  <w:num w:numId="4" w16cid:durableId="448280645">
    <w:abstractNumId w:val="5"/>
  </w:num>
  <w:num w:numId="5" w16cid:durableId="1128740293">
    <w:abstractNumId w:val="10"/>
  </w:num>
  <w:num w:numId="6" w16cid:durableId="210847713">
    <w:abstractNumId w:val="11"/>
  </w:num>
  <w:num w:numId="7" w16cid:durableId="1092700367">
    <w:abstractNumId w:val="8"/>
  </w:num>
  <w:num w:numId="8" w16cid:durableId="319775667">
    <w:abstractNumId w:val="2"/>
  </w:num>
  <w:num w:numId="9" w16cid:durableId="1784962612">
    <w:abstractNumId w:val="4"/>
  </w:num>
  <w:num w:numId="10" w16cid:durableId="1714497312">
    <w:abstractNumId w:val="3"/>
  </w:num>
  <w:num w:numId="11" w16cid:durableId="1072966920">
    <w:abstractNumId w:val="9"/>
  </w:num>
  <w:num w:numId="12" w16cid:durableId="1932395329">
    <w:abstractNumId w:val="12"/>
  </w:num>
  <w:num w:numId="13" w16cid:durableId="982000282">
    <w:abstractNumId w:val="7"/>
  </w:num>
  <w:num w:numId="14" w16cid:durableId="595598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B67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C6DF3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610D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D1B66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3C54"/>
    <w:rsid w:val="00796060"/>
    <w:rsid w:val="007A1D28"/>
    <w:rsid w:val="007C283F"/>
    <w:rsid w:val="007F0433"/>
    <w:rsid w:val="00821540"/>
    <w:rsid w:val="00830686"/>
    <w:rsid w:val="00844064"/>
    <w:rsid w:val="008479F9"/>
    <w:rsid w:val="008563D7"/>
    <w:rsid w:val="00856D01"/>
    <w:rsid w:val="008756EC"/>
    <w:rsid w:val="00880DAE"/>
    <w:rsid w:val="00884FC7"/>
    <w:rsid w:val="00895F57"/>
    <w:rsid w:val="008A5B14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62AEE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D09C6"/>
    <w:rsid w:val="00BF58E3"/>
    <w:rsid w:val="00BF6595"/>
    <w:rsid w:val="00C13501"/>
    <w:rsid w:val="00C71778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08A0"/>
    <w:rsid w:val="00F64483"/>
    <w:rsid w:val="00F64E2F"/>
    <w:rsid w:val="00F64F65"/>
    <w:rsid w:val="00F92B9D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1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2023-01-13T08:20:00Z</dcterms:created>
  <dcterms:modified xsi:type="dcterms:W3CDTF">2023-01-13T08:20:00Z</dcterms:modified>
</cp:coreProperties>
</file>